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rPr/>
      </w:pP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rPr>
          <w:rFonts w:ascii="Arial" w:cs="Arial" w:eastAsia="Arial" w:hAnsi="Arial"/>
          <w:b w:val="0"/>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rPr>
          <w:rFonts w:ascii="Arial" w:cs="Arial" w:eastAsia="Arial" w:hAnsi="Arial"/>
          <w:b w:val="0"/>
          <w:i w:val="0"/>
          <w:smallCaps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rPr>
          <w:rFonts w:ascii="Arial" w:cs="Arial" w:eastAsia="Arial" w:hAnsi="Arial"/>
          <w:b w:val="0"/>
          <w:i w:val="0"/>
          <w:smallCaps w:val="0"/>
          <w:strike w:val="0"/>
          <w:color w:val="000000"/>
          <w:sz w:val="24"/>
          <w:szCs w:val="24"/>
          <w:u w:val="none"/>
          <w:shd w:fill="auto" w:val="clear"/>
          <w:vertAlign w:val="baseline"/>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rPr>
          <w:rFonts w:ascii="Arial" w:cs="Arial" w:eastAsia="Arial" w:hAnsi="Arial"/>
          <w:b w:val="1"/>
          <w:i w:val="0"/>
          <w:smallCaps w:val="1"/>
          <w:strike w:val="0"/>
          <w:color w:val="000000"/>
          <w:sz w:val="24"/>
          <w:szCs w:val="24"/>
          <w:u w:val="none"/>
          <w:shd w:fill="auto" w:val="clear"/>
          <w:vertAlign w:val="baseline"/>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2">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RM6168 - Estate Management Services</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20</w:t>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